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95772" w:rsidRPr="00ED2C3E" w:rsidRDefault="00095772" w:rsidP="00ED2C3E">
      <w:pPr>
        <w:rPr>
          <w:rFonts w:ascii="Verdana" w:hAnsi="Verdana" w:cs="Arial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 w:cs="Arial"/>
          <w:color w:val="2D0A90"/>
          <w:szCs w:val="28"/>
        </w:rPr>
      </w:pPr>
      <w:proofErr w:type="spellStart"/>
      <w:r w:rsidRPr="00ED2C3E">
        <w:rPr>
          <w:rFonts w:ascii="Verdana" w:hAnsi="Verdana" w:cs="Arial"/>
          <w:color w:val="2D0A90"/>
          <w:szCs w:val="28"/>
        </w:rPr>
        <w:t>LiberEtà</w:t>
      </w:r>
      <w:proofErr w:type="spellEnd"/>
      <w:r w:rsidRPr="00ED2C3E">
        <w:rPr>
          <w:rFonts w:ascii="Verdana" w:hAnsi="Verdana" w:cs="Arial"/>
          <w:color w:val="2D0A90"/>
          <w:szCs w:val="28"/>
        </w:rPr>
        <w:t xml:space="preserve"> (rivista CGIL)       marzo 2009</w:t>
      </w:r>
    </w:p>
    <w:p w:rsidR="00ED2C3E" w:rsidRPr="00ED2C3E" w:rsidRDefault="00ED2C3E" w:rsidP="00ED2C3E">
      <w:pPr>
        <w:rPr>
          <w:rFonts w:ascii="Verdana" w:hAnsi="Verdana" w:cs="Arial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72"/>
          <w:szCs w:val="52"/>
        </w:rPr>
      </w:pPr>
      <w:r w:rsidRPr="00ED2C3E">
        <w:rPr>
          <w:rFonts w:ascii="Verdana" w:hAnsi="Verdana"/>
          <w:color w:val="2D0A90"/>
          <w:sz w:val="72"/>
          <w:szCs w:val="52"/>
        </w:rPr>
        <w:t>Fronte dei nonni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di Fabrizio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Bonugli</w:t>
      </w:r>
      <w:proofErr w:type="spellEnd"/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Quelle che vogliamo raccontare sono due storie semplici, di vita vissuta, diverse tra loro, lontane anche geograficamente – una si svolge a Genova, l’altra ad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Acquaformosa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, un paesino alla pendici del Pollino –, ma legate da un filo rosso che le rende emblematiche testimonianze dello spirito di quanti non si rassegnano di fronte a diritti negati e servizi inefficienti.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>Due storie di mobilitazione civile, ordinata ma tenace, contro decisioni ingiuste e ingiustificate, i cui protagonisti sono, ancora una volta, i pensionati e gli anziani.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>Alle case di edilizia popolare (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) di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, un quartiere di Genova, un gruppo di cittadini, età media settant’anni circa, stanchi di vedersi negati servizi e diritti, ha dato vita alla “operazione Tartaruga”, una protesta contro la decisione delle poste di chiudere l’unico ufficio di zona, che serve le seimila persone che ci vivono.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Un’area difficile, quella del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, ai confini della città, dove il degrado rischia di mettere seriamente in discussione il tessuto sociale della convivenza. 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In un contesto simile, anche la presenza di un ufficio postale può fare la differenza. Per questo motivo, quando, dopo la chiusura a seguito di una rapina, gli abitanti si sono resi conto che questa rischiava di trasformarsi in una dismissione definitiva dell’ufficio postale, si sono arrabbiati sul serio, si sono organizzati e hanno messo in atto la loro azione. 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> 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Style w:val="Enfasigrassetto"/>
          <w:rFonts w:ascii="Verdana" w:hAnsi="Verdana"/>
          <w:color w:val="2D0A90"/>
          <w:sz w:val="22"/>
          <w:szCs w:val="22"/>
        </w:rPr>
        <w:t>Operazione tartaruga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La storia comincia il 29 dicembre. Un gruppo di cittadini si dà appuntamento all’ora di chiusura agli sportelli di un altro ufficio postale del quartiere, in via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Airaghi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, distante cinque chilometri, e costringono gli impiegati a rispondere alle loro richieste, spesso anche un po’ strampalate. Determinati a portare avanti la loro protesta, coniano anche uno slogan: «Non ho bastoni né corpi contundenti, la mia arma sono i conti correnti». 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Qualcuno ha portato le sedie per affrontare meglio l’attesa in fila, altri l’acqua, altri ancora qualcosa da mangiare, poi la solidarietà e la voglia di averla vinta hanno fatto il resto. C’è chi, arrivato il suo turno, è riuscito a “resistere” per oltre venti minuti, imbrigliando l’impiegata in una fitta rete di richieste di chiarimenti. 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Nicolò Catania, ex operaio ed ex sindacalista Cgil ha coinvolto addirittura in prima persona il direttore dell’ufficio: «Ho a disposizione centomila euro – ha esordito – e vorrei aprire un conto: che interessi mi date? E se poi non sono soddisfatto e voglio chiudere il conto quanto devo pagare?». In realtà i centomila euro non esistevano affatto – e probabilmente il direttore lo aveva capito – ma per un quarto d’ora Nicolò è riuscito a tenere in piedi la sua sceneggiata. 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«Quest’area del quartiere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è un posto di frontiera – spiega Giannino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Malaspina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, segretario dello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Spi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regionale –. Noi a Genova li chiamiamo i “palazzi lavatrice”. Molte delle persone che ci abitano vivono in condizione di difficoltà economiche. Per questi motivi lo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Spi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ha deciso di aprire una sua sede qui, per essere un punto di riferimento per gli anziani. Nella vicenda dell’ufficio postale non siamo intervenuti direttamente nella protesta, però abbiamo informato i cittadini e distribuito volantini».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Insomma una sorta di sciopero alla rovescia di una volta con l’obiettivo di rallentare le operazioni (da qui il nome di operazione Tartaruga), che alla fine ha dato i suoi risultati: messo alle strette, l’ente Poste ha ceduto e l’ufficio postale del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ha riaperto i battenti lo scorso 12 gennaio. «Una vittoria della gente» ha commentato il presidente della Regione Liguria, Claudio Burlando.</w:t>
      </w: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> 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Style w:val="Enfasigrassetto"/>
          <w:rFonts w:ascii="Verdana" w:hAnsi="Verdana"/>
          <w:color w:val="2D0A90"/>
          <w:sz w:val="22"/>
          <w:szCs w:val="22"/>
        </w:rPr>
        <w:t>Nonni a scuola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E di una vittoria della gente racconta anche l’altra storia, svoltasi a circa mille chilometri di distanza da Genova.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proofErr w:type="spellStart"/>
      <w:r w:rsidRPr="00ED2C3E">
        <w:rPr>
          <w:rFonts w:ascii="Verdana" w:hAnsi="Verdana"/>
          <w:color w:val="2D0A90"/>
          <w:sz w:val="22"/>
          <w:szCs w:val="22"/>
        </w:rPr>
        <w:t>Acquaformosa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è un piccolo paese della comunità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arberesh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sui monti del Pollino, in provincia di Cosenza, dove vivono poco più di mille anime.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Gli anziani sono la maggioranza degli abitanti, i bambini invece sono sempre di meno.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Per questo motivo, in base alle disposizioni della “riforma modernizzatrice” – in realtà un provvedimento che taglia in maniera indiscriminata i fondi alla scuola pubblica – voluta dalla ministra dell’Istruzione, Maria Stella Gelmini, la scuola elementare rischiava la chiusura dal momento che il numero degli alunni che la frequentano non rientra nei limiti previsti dalla legge.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Una decisione che avrebbe costretto i bambini a percorrere oltre venti chilometri al giorno per poter raggiungere la scuola più vicina.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Default="00ED2C3E" w:rsidP="00ED2C3E">
      <w:pPr>
        <w:rPr>
          <w:rFonts w:ascii="Verdana" w:hAnsi="Verdana"/>
          <w:color w:val="2D0A90"/>
          <w:sz w:val="22"/>
          <w:szCs w:val="22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È a questo punto che sono entrati in campo i nonni: se non ci sono bambini sufficienti a tenere aperta la scuola, si sono chiesti, perché non ci iscriviamo noi? E così hanno fatto. </w:t>
      </w:r>
    </w:p>
    <w:p w:rsidR="00ED2C3E" w:rsidRPr="00ED2C3E" w:rsidRDefault="00ED2C3E" w:rsidP="00ED2C3E">
      <w:pPr>
        <w:rPr>
          <w:rFonts w:ascii="Verdana" w:hAnsi="Verdana"/>
          <w:color w:val="2D0A90"/>
          <w:sz w:val="22"/>
          <w:szCs w:val="22"/>
        </w:rPr>
      </w:pPr>
    </w:p>
    <w:p w:rsidR="00ED2C3E" w:rsidRPr="00ED2C3E" w:rsidRDefault="00ED2C3E" w:rsidP="00ED2C3E">
      <w:pPr>
        <w:rPr>
          <w:rFonts w:ascii="Verdana" w:hAnsi="Verdana"/>
          <w:color w:val="2D0A90"/>
        </w:rPr>
      </w:pPr>
      <w:r w:rsidRPr="00ED2C3E">
        <w:rPr>
          <w:rFonts w:ascii="Verdana" w:hAnsi="Verdana"/>
          <w:color w:val="2D0A90"/>
          <w:sz w:val="22"/>
          <w:szCs w:val="22"/>
        </w:rPr>
        <w:t xml:space="preserve">Ora, tra i banchi della prima elementare di </w:t>
      </w:r>
      <w:proofErr w:type="spellStart"/>
      <w:r w:rsidRPr="00ED2C3E">
        <w:rPr>
          <w:rFonts w:ascii="Verdana" w:hAnsi="Verdana"/>
          <w:color w:val="2D0A90"/>
          <w:sz w:val="22"/>
          <w:szCs w:val="22"/>
        </w:rPr>
        <w:t>Acquaformosa</w:t>
      </w:r>
      <w:proofErr w:type="spellEnd"/>
      <w:r w:rsidRPr="00ED2C3E">
        <w:rPr>
          <w:rFonts w:ascii="Verdana" w:hAnsi="Verdana"/>
          <w:color w:val="2D0A90"/>
          <w:sz w:val="22"/>
          <w:szCs w:val="22"/>
        </w:rPr>
        <w:t xml:space="preserve"> i nipoti, incuriositi e divertiti, siedono accanto alle loro nonne e ai loro nonni, una ventina circa, alcuni ultraottantenni, altrettanto divertiti, un po’ impacciati forse, ma orgogliosi della loro iniziativa. </w:t>
      </w:r>
    </w:p>
    <w:p w:rsidR="00A01E9F" w:rsidRPr="00095772" w:rsidRDefault="00A01E9F" w:rsidP="0086751F">
      <w:pPr>
        <w:rPr>
          <w:rFonts w:ascii="Verdana" w:hAnsi="Verdana"/>
          <w:color w:val="2D0A90"/>
          <w:sz w:val="22"/>
          <w:szCs w:val="22"/>
        </w:rPr>
      </w:pPr>
    </w:p>
    <w:sectPr w:rsidR="00A01E9F" w:rsidRPr="0009577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2016-05-30T21:28:00Z</dcterms:created>
  <dcterms:modified xsi:type="dcterms:W3CDTF">2016-05-30T21:28:00Z</dcterms:modified>
</cp:coreProperties>
</file>